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RT"/>
      </w:pPr>
      <w:r>
        <w:t xml:space="preserve">Standard Terms and Conditions of Sale</w:t>
      </w:r>
    </w:p>
    <w:p>
      <w:pPr>
        <w:pStyle w:val="SRS"/>
      </w:pPr>
      <w:r>
        <w:t xml:space="preserve">New vessel supplied to order</w:t>
      </w:r>
    </w:p>
    <w:p>
      <w:pPr>
        <w:pStyle w:val="SRM"/>
      </w:pPr>
      <w:r>
        <w:t xml:space="preserve">Sea Raider Pty Ltd  |  ABN 45 683 471 963</w:t>
      </w:r>
    </w:p>
    <w:p>
      <w:pPr>
        <w:pStyle w:val="SRM"/>
      </w:pPr>
      <w:r>
        <w:t xml:space="preserve">Redlands Coast Marina, Queensland, Australia  |  07 3477 9338  |  sales@searaider.com.au</w:t>
      </w:r>
    </w:p>
    <w:p>
      <w:pPr>
        <w:pStyle w:val="SRM"/>
      </w:pPr>
      <w:r>
        <w:t xml:space="preserve">Version 1.2  |  Issued September 2026</w:t>
      </w:r>
    </w:p>
    <w:p>
      <w:pPr>
        <w:pStyle w:val="SRR"/>
      </w:pPr>
    </w:p>
    <w:p>
      <w:pPr>
        <w:pStyle w:val="SRB"/>
      </w:pPr>
      <w:r>
        <w:t xml:space="preserve">These terms apply to the sale of every new vessel supplied by Sea Raider Pty Ltd. They form part of the agreement between Sea Raider and the Buyer, together with the Order, and apply unless varied in writing and signed by both parties.</w:t>
      </w:r>
    </w:p>
    <w:p>
      <w:pPr>
        <w:pStyle w:val="SRH"/>
      </w:pPr>
      <w:r>
        <w:t xml:space="preserve">1.  Definitions and interpretation</w:t>
      </w:r>
    </w:p>
    <w:p>
      <w:pPr>
        <w:pStyle w:val="SRB"/>
      </w:pPr>
      <w:r>
        <w:t xml:space="preserve">Supplier means Sea Raider Pty Ltd (ABN 45 683 471 963). Buyer means the person or entity named in the Order. Vessel means the boat described in the Order. Specification means the description, options and drawings recorded in the Order, as varied under clause 4. Order means the Buyer's written acceptance of the Supplier's quotation. Price means the amount stated in the Order. Delivery Point means the place named in the Order. ACL means the Australian Consumer Law in Schedule 2 to the Competition and Consumer Act 2010 (Cth).</w:t>
      </w:r>
    </w:p>
    <w:p>
      <w:pPr>
        <w:pStyle w:val="SRB"/>
      </w:pPr>
      <w:r>
        <w:t xml:space="preserve">A reference to a clause is a reference to a clause of these terms. Headings are for convenience only and do not affect interpretation.</w:t>
      </w:r>
    </w:p>
    <w:p>
      <w:pPr>
        <w:pStyle w:val="SRH"/>
      </w:pPr>
      <w:r>
        <w:t xml:space="preserve">2.  Formation of the agreement</w:t>
      </w:r>
    </w:p>
    <w:p>
      <w:pPr>
        <w:pStyle w:val="SRB"/>
      </w:pPr>
      <w:r>
        <w:t xml:space="preserve">A quotation is an invitation only and creates no obligation on either party. Quotations lapse on the expiry date shown on them, or after thirty days if no date is shown.</w:t>
      </w:r>
    </w:p>
    <w:p>
      <w:pPr>
        <w:pStyle w:val="SRB"/>
      </w:pPr>
      <w:r>
        <w:t xml:space="preserve">A binding agreement is formed when the Buyer signs the Order and the Supplier receives the deposit. From that moment these terms apply to the sale to the exclusion of any purchase order, tender condition or standard terms put forward by the Buyer, unless the Supplier agrees to them in writing.</w:t>
      </w:r>
    </w:p>
    <w:p>
      <w:pPr>
        <w:pStyle w:val="SRH"/>
      </w:pPr>
      <w:r>
        <w:t xml:space="preserve">3.  The Vessel and the Specification</w:t>
      </w:r>
    </w:p>
    <w:p>
      <w:pPr>
        <w:pStyle w:val="SRB"/>
      </w:pPr>
      <w:r>
        <w:t xml:space="preserve">The Supplier will supply the Vessel substantially in accordance with the Specification. The Buyer acknowledges that:</w:t>
      </w:r>
    </w:p>
    <w:p>
      <w:pPr>
        <w:pStyle w:val="SRL"/>
      </w:pPr>
      <w:r>
        <w:t xml:space="preserve">—  the Vessel is built to order, and construction does not begin until the deposit is received and production drawings are approved under clause 4;</w:t>
      </w:r>
    </w:p>
    <w:p>
      <w:pPr>
        <w:pStyle w:val="SRL"/>
      </w:pPr>
      <w:r>
        <w:t xml:space="preserve">—  brochures, renderings, sample vessels and website images are illustrative only, indicating the general type and finish rather than the exact Vessel;</w:t>
      </w:r>
    </w:p>
    <w:p>
      <w:pPr>
        <w:pStyle w:val="SRL"/>
      </w:pPr>
      <w:r>
        <w:t xml:space="preserve">—  the Supplier may make minor changes to materials, fittings, layout or componentry where a specified item becomes unavailable, or where the change does not materially reduce the Vessel's performance, capacity or value; and</w:t>
      </w:r>
    </w:p>
    <w:p>
      <w:pPr>
        <w:pStyle w:val="SRL"/>
      </w:pPr>
      <w:r>
        <w:t xml:space="preserve">—  hand-built aluminium construction carries normal manufacturing tolerances, including minor variation in weld appearance, plate flatness, paint finish, and stated weights and dimensions.</w:t>
      </w:r>
    </w:p>
    <w:p>
      <w:pPr>
        <w:pStyle w:val="SRH"/>
      </w:pPr>
      <w:r>
        <w:t xml:space="preserve">4.  Drawings, approval and variations</w:t>
      </w:r>
    </w:p>
    <w:p>
      <w:pPr>
        <w:pStyle w:val="SRB"/>
      </w:pPr>
      <w:r>
        <w:t xml:space="preserve">Before production begins the Supplier will issue production drawings for the Buyer's approval. The Buyer must approve them, or request changes in writing, within ten business days.</w:t>
      </w:r>
    </w:p>
    <w:p>
      <w:pPr>
        <w:pStyle w:val="SRB"/>
      </w:pPr>
      <w:r>
        <w:t xml:space="preserve">Approved drawings become part of the Specification and supersede all earlier drawings, sketches, marked-up plans and email descriptions.</w:t>
      </w:r>
    </w:p>
    <w:p>
      <w:pPr>
        <w:pStyle w:val="SRB"/>
      </w:pPr>
      <w:r>
        <w:t xml:space="preserve">After approval, no change is binding unless recorded in a written variation signed by both parties setting out the change, the price adjustment and any effect on the build programme. The Supplier may decline a variation once the relevant stage of construction has begun, and may charge for design, engineering or rework costs already incurred.</w:t>
      </w:r>
    </w:p>
    <w:p>
      <w:pPr>
        <w:pStyle w:val="SRH"/>
      </w:pPr>
      <w:r>
        <w:t xml:space="preserve">5.  Price, GST and exclusions</w:t>
      </w:r>
    </w:p>
    <w:p>
      <w:pPr>
        <w:pStyle w:val="SRB"/>
      </w:pPr>
      <w:r>
        <w:t xml:space="preserve">The Price is stated in Australian dollars and includes GST unless expressly noted otherwise. The Price covers only the items recorded in the Specification.</w:t>
      </w:r>
    </w:p>
    <w:p>
      <w:pPr>
        <w:pStyle w:val="SRB"/>
      </w:pPr>
      <w:r>
        <w:t xml:space="preserve">Unless the Order states otherwise, the following are excluded and remain the Buyer's responsibility:</w:t>
      </w:r>
    </w:p>
    <w:p>
      <w:pPr>
        <w:pStyle w:val="SRL"/>
      </w:pPr>
      <w:r>
        <w:t xml:space="preserve">—  engines, motor rigging, controls and installation;</w:t>
      </w:r>
    </w:p>
    <w:p>
      <w:pPr>
        <w:pStyle w:val="SRL"/>
      </w:pPr>
      <w:r>
        <w:t xml:space="preserve">—  batteries, switch panels and battery installation;</w:t>
      </w:r>
    </w:p>
    <w:p>
      <w:pPr>
        <w:pStyle w:val="SRL"/>
      </w:pPr>
      <w:r>
        <w:t xml:space="preserve">—  electronics, including chart plotters, instruments, displays, radio and audio;</w:t>
      </w:r>
    </w:p>
    <w:p>
      <w:pPr>
        <w:pStyle w:val="SRL"/>
      </w:pPr>
      <w:r>
        <w:t xml:space="preserve">—  trailer and registration;</w:t>
      </w:r>
    </w:p>
    <w:p>
      <w:pPr>
        <w:pStyle w:val="SRL"/>
      </w:pPr>
      <w:r>
        <w:t xml:space="preserve">—  freight, port and wharf handling, road transport, craneage, hardstand, launch and retrieval;</w:t>
      </w:r>
    </w:p>
    <w:p>
      <w:pPr>
        <w:pStyle w:val="SRL"/>
      </w:pPr>
      <w:r>
        <w:t xml:space="preserve">—  marine survey, and commercial survey certification unless survey is expressly specified in the Order;</w:t>
      </w:r>
    </w:p>
    <w:p>
      <w:pPr>
        <w:pStyle w:val="SRL"/>
      </w:pPr>
      <w:r>
        <w:t xml:space="preserve">—  clears and canvas fitout;</w:t>
      </w:r>
    </w:p>
    <w:p>
      <w:pPr>
        <w:pStyle w:val="SRL"/>
      </w:pPr>
      <w:r>
        <w:t xml:space="preserve">—  antifouling; and</w:t>
      </w:r>
    </w:p>
    <w:p>
      <w:pPr>
        <w:pStyle w:val="SRL"/>
      </w:pPr>
      <w:r>
        <w:t xml:space="preserve">—  anchor, chain, rope and winch, unless expressly listed in the Order.</w:t>
      </w:r>
    </w:p>
    <w:p>
      <w:pPr>
        <w:pStyle w:val="SRH"/>
      </w:pPr>
      <w:r>
        <w:t xml:space="preserve">6.  Price adjustment</w:t>
      </w:r>
    </w:p>
    <w:p>
      <w:pPr>
        <w:pStyle w:val="SRB"/>
      </w:pPr>
      <w:r>
        <w:t xml:space="preserve">The Price is fixed from the date of the Order, except where a variation is agreed under clause 4, or where between the Order and delivery there is a change in a government tax, duty, levy or tariff, or a movement in the Australian dollar exchange rate against the currency of supply of more than five per cent.</w:t>
      </w:r>
    </w:p>
    <w:p>
      <w:pPr>
        <w:pStyle w:val="SRB"/>
      </w:pPr>
      <w:r>
        <w:t xml:space="preserve">In those cases the Supplier may adjust the Price by the amount of the actual increase, supported by written evidence, and must notify the Buyer promptly. If an adjustment increases the Price by more than five per cent, the Buyer may cancel within ten business days of notice and receive a full refund of all money paid, including the deposit.</w:t>
      </w:r>
    </w:p>
    <w:p>
      <w:pPr>
        <w:pStyle w:val="SRH"/>
      </w:pPr>
      <w:r>
        <w:t xml:space="preserve">7.  Payment</w:t>
      </w:r>
    </w:p>
    <w:p>
      <w:pPr>
        <w:pStyle w:val="SRB"/>
      </w:pPr>
      <w:r>
        <w:t xml:space="preserve">Unless the Order states otherwise, the Price is payable as a fifty per cent deposit on signing to commence construction, and the balance on completion of the build prior to shipping.</w:t>
      </w:r>
    </w:p>
    <w:p>
      <w:pPr>
        <w:pStyle w:val="SRB"/>
      </w:pPr>
      <w:r>
        <w:t xml:space="preserve">Payment is made by electronic transfer to the account nominated by the Supplier in the Order. Time is of the essence for payment. The Supplier is not obliged to ship, deliver or hand over the Vessel until all money has been received in cleared funds.</w:t>
      </w:r>
    </w:p>
    <w:p>
      <w:pPr>
        <w:pStyle w:val="SRB"/>
      </w:pPr>
      <w:r>
        <w:t xml:space="preserve">Overdue amounts carry interest at two per cent above the Reserve Bank of Australia cash rate, calculated daily from the due date until payment.</w:t>
      </w:r>
    </w:p>
    <w:p>
      <w:pPr>
        <w:pStyle w:val="SRH"/>
      </w:pPr>
      <w:r>
        <w:t xml:space="preserve">8.  Title, risk and security interest</w:t>
      </w:r>
    </w:p>
    <w:p>
      <w:pPr>
        <w:pStyle w:val="SRB"/>
      </w:pPr>
      <w:r>
        <w:t xml:space="preserve">Title to the Vessel remains with the Supplier until the Supplier has received all money owing under the agreement in cleared funds. Risk passes to the Buyer on delivery at the Delivery Point, or earlier if the Buyer or its agent takes possession, or if delivery is delayed by the Buyer under clause 11.</w:t>
      </w:r>
    </w:p>
    <w:p>
      <w:pPr>
        <w:pStyle w:val="SRB"/>
      </w:pPr>
      <w:r>
        <w:t xml:space="preserve">These terms create a security interest in the Vessel in favour of the Supplier for the purposes of the Personal Property Securities Act 2009 (Cth). The Buyer consents to the Supplier registering that interest on the Personal Property Securities Register and will provide any information reasonably required to do so. The Buyer must not sell, encumber or part with possession of the Vessel before title passes.</w:t>
      </w:r>
    </w:p>
    <w:p>
      <w:pPr>
        <w:pStyle w:val="SRH"/>
      </w:pPr>
      <w:r>
        <w:t xml:space="preserve">9.  Build programme</w:t>
      </w:r>
    </w:p>
    <w:p>
      <w:pPr>
        <w:pStyle w:val="SRB"/>
      </w:pPr>
      <w:r>
        <w:t xml:space="preserve">Build and delivery dates are estimates given in good faith, based on information from the factory at the time. They are not guaranteed, and time is not of the essence for delivery. The Supplier will keep the Buyer informed of material changes to the programme.</w:t>
      </w:r>
    </w:p>
    <w:p>
      <w:pPr>
        <w:pStyle w:val="SRB"/>
      </w:pPr>
      <w:r>
        <w:t xml:space="preserve">Subject to clause 16, the Supplier is not liable for loss, cost or expense arising from late delivery, including chartering replacement vessels, lost bookings or lost use.</w:t>
      </w:r>
    </w:p>
    <w:p>
      <w:pPr>
        <w:pStyle w:val="SRB"/>
      </w:pPr>
      <w:r>
        <w:t xml:space="preserve">If delivery is delayed beyond twelve months after the estimated date, for reasons other than the Buyer's conduct or an event under clause 18, the Buyer may cancel by written notice and receive a refund of all money paid, less the value of any bespoke work already completed and any third party items already ordered on the Buyer's instruction.</w:t>
      </w:r>
    </w:p>
    <w:p>
      <w:pPr>
        <w:pStyle w:val="SRH"/>
      </w:pPr>
      <w:r>
        <w:t xml:space="preserve">10.  Freight, delivery and unloading</w:t>
      </w:r>
    </w:p>
    <w:p>
      <w:pPr>
        <w:pStyle w:val="SRB"/>
      </w:pPr>
      <w:r>
        <w:t xml:space="preserve">Where the Supplier arranges freight, marine transit insurance, port handling, road transport, craneage, launch or marina services on the Buyer's behalf, it does so as agent only, at the Buyer's cost, and is not liable for the acts or omissions of the carrier, freight forwarder, stevedore or marina.</w:t>
      </w:r>
    </w:p>
    <w:p>
      <w:pPr>
        <w:pStyle w:val="SRB"/>
      </w:pPr>
      <w:r>
        <w:t xml:space="preserve">Freight quotations are indicative until the delivery route and unloading arrangements are confirmed in writing.</w:t>
      </w:r>
    </w:p>
    <w:p>
      <w:pPr>
        <w:pStyle w:val="SRH"/>
      </w:pPr>
      <w:r>
        <w:t xml:space="preserve">11.  Handover, inspection and acceptance</w:t>
      </w:r>
    </w:p>
    <w:p>
      <w:pPr>
        <w:pStyle w:val="SRB"/>
      </w:pPr>
      <w:r>
        <w:t xml:space="preserve">On arrival the parties will carry out a joint handover inspection and record the result on a handover checklist signed by both. The Buyer must note any visible defect, shortage or damage on the checklist at that time.</w:t>
      </w:r>
    </w:p>
    <w:p>
      <w:pPr>
        <w:pStyle w:val="SRB"/>
      </w:pPr>
      <w:r>
        <w:t xml:space="preserve">Accepting handover does not waive any right under clause 15, or under the ACL, for defects that are not reasonably visible on inspection.</w:t>
      </w:r>
    </w:p>
    <w:p>
      <w:pPr>
        <w:pStyle w:val="SRB"/>
      </w:pPr>
      <w:r>
        <w:t xml:space="preserve">If the Buyer does not take delivery within fourteen days of being notified the Vessel is ready, the Supplier may store the Vessel at the Buyer's risk and cost at the rate stated in the Order, and risk passes to the Buyer at the end of that period.</w:t>
      </w:r>
    </w:p>
    <w:p>
      <w:pPr>
        <w:pStyle w:val="SRH"/>
      </w:pPr>
      <w:r>
        <w:t xml:space="preserve">12.  Items supplied by others</w:t>
      </w:r>
    </w:p>
    <w:p>
      <w:pPr>
        <w:pStyle w:val="SRB"/>
      </w:pPr>
      <w:r>
        <w:t xml:space="preserve">Where engines, electronics, trailers, canvas or clears, or any other equipment are supplied or installed by a third party, whether or not the Supplier introduced that party, the Buyer contracts with that party directly. The Supplier gives no warranty for that equipment or its installation, and is not responsible for its performance, its interaction with the Vessel, or delays caused by it.</w:t>
      </w:r>
    </w:p>
    <w:p>
      <w:pPr>
        <w:pStyle w:val="SRB"/>
      </w:pPr>
      <w:r>
        <w:t xml:space="preserve">Where a third party works on the Vessel, that party is responsible for any damage it causes. Alterations, drilling, penetrations or electrical work carried out by others may affect the Supplier's warranty under clause 15.</w:t>
      </w:r>
    </w:p>
    <w:p>
      <w:pPr>
        <w:pStyle w:val="SRH"/>
      </w:pPr>
      <w:r>
        <w:t xml:space="preserve">13.  Certification and survey</w:t>
      </w:r>
    </w:p>
    <w:p>
      <w:pPr>
        <w:pStyle w:val="SRB"/>
      </w:pPr>
      <w:r>
        <w:t xml:space="preserve">The Supplier can build to commercial survey. Survey must be requested by the Buyer and recorded in the Order before construction begins, and carries additional cost, which is quoted separately from the vessel price.</w:t>
      </w:r>
    </w:p>
    <w:p>
      <w:pPr>
        <w:pStyle w:val="SRB"/>
      </w:pPr>
      <w:r>
        <w:t xml:space="preserve">Survey is a construction standard, assessed by an accredited marine surveyor from the design stage and throughout the build. It is not certification applied to a completed vessel. A vessel built as a recreational vessel cannot be brought into survey afterwards.</w:t>
      </w:r>
    </w:p>
    <w:p>
      <w:pPr>
        <w:pStyle w:val="SRB"/>
      </w:pPr>
      <w:r>
        <w:t xml:space="preserve">Where the Order does not expressly specify construction to survey, the Vessel is supplied as a recreational vessel and no survey certification is provided. The Buyer is responsible for satisfying itself that the Vessel suits its intended use, and for obtaining any registration, licence, exemption or approval required by a marine authority.</w:t>
      </w:r>
    </w:p>
    <w:p>
      <w:pPr>
        <w:pStyle w:val="SRB"/>
      </w:pPr>
      <w:r>
        <w:t xml:space="preserve">Aluminium plate used in construction is certified by the classification society stated in the Order. The Supplier makes no representation that the plate carries certification from any other society.</w:t>
      </w:r>
    </w:p>
    <w:p>
      <w:pPr>
        <w:pStyle w:val="SRH"/>
      </w:pPr>
      <w:r>
        <w:t xml:space="preserve">14.  Owner's obligations</w:t>
      </w:r>
    </w:p>
    <w:p>
      <w:pPr>
        <w:pStyle w:val="SRB"/>
      </w:pPr>
      <w:r>
        <w:t xml:space="preserve">The Buyer must maintain the Vessel in accordance with the owner's manual and accepted marine practice, must flush and wash down after saltwater use, must not exceed the Vessel's rated capacity, power range or roof load, and must use only trailers approved for the Vessel.</w:t>
      </w:r>
    </w:p>
    <w:p>
      <w:pPr>
        <w:pStyle w:val="SRB"/>
      </w:pPr>
      <w:r>
        <w:t xml:space="preserve">Where the Vessel is supplied with, or used with, a road trailer, the Buyer acknowledges that boat trailers are repeatedly immersed in salt water and towed long distances, and that trailer wheel bearings which are not kept full of grease will fail. The Buyer must:</w:t>
      </w:r>
    </w:p>
    <w:p>
      <w:pPr>
        <w:pStyle w:val="SRL"/>
      </w:pPr>
      <w:r>
        <w:t xml:space="preserve">—  keep every trailer wheel bearing packed full of marine-grade grease at all times and top it up regularly;</w:t>
      </w:r>
    </w:p>
    <w:p>
      <w:pPr>
        <w:pStyle w:val="SRL"/>
      </w:pPr>
      <w:r>
        <w:t xml:space="preserve">—  check and top up the grease after every saltwater launch and before any long-distance tow;</w:t>
      </w:r>
    </w:p>
    <w:p>
      <w:pPr>
        <w:pStyle w:val="SRL"/>
      </w:pPr>
      <w:r>
        <w:t xml:space="preserve">—  flush the hubs and trailer with fresh water after every saltwater use;</w:t>
      </w:r>
    </w:p>
    <w:p>
      <w:pPr>
        <w:pStyle w:val="SRL"/>
      </w:pPr>
      <w:r>
        <w:t xml:space="preserve">—  check the hubs for heat at every stop on a long tow, and stop using the trailer if a hub is too hot to touch; and</w:t>
      </w:r>
    </w:p>
    <w:p>
      <w:pPr>
        <w:pStyle w:val="SRL"/>
      </w:pPr>
      <w:r>
        <w:t xml:space="preserve">—  have the bearings inspected, repacked or replaced by a qualified trailer mechanic at the intervals set out by the trailer manufacturer, or sooner where the trailer is used frequently in salt water.</w:t>
      </w:r>
    </w:p>
    <w:p>
      <w:pPr>
        <w:pStyle w:val="SRB"/>
      </w:pPr>
      <w:r>
        <w:t xml:space="preserve">Failure of a trailer wheel bearing or hub caused by lack of grease, and any damage to the trailer or the Vessel that results from it, is improper maintenance and is not covered by the warranty in clause 15.</w:t>
      </w:r>
    </w:p>
    <w:p>
      <w:pPr>
        <w:pStyle w:val="SRB"/>
      </w:pPr>
      <w:r>
        <w:t xml:space="preserve">Where the Vessel is kept afloat rather than trailered or stored ashore, the Buyer must also:</w:t>
      </w:r>
    </w:p>
    <w:p>
      <w:pPr>
        <w:pStyle w:val="SRL"/>
      </w:pPr>
      <w:r>
        <w:t xml:space="preserve">—  specify sacrificial anodes appropriate to the mooring's water type, inspect them at least every three months, replace them before they are half consumed, and keep records to be produced with any corrosion claim;</w:t>
      </w:r>
    </w:p>
    <w:p>
      <w:pPr>
        <w:pStyle w:val="SRL"/>
      </w:pPr>
      <w:r>
        <w:t xml:space="preserve">—  ensure that any antifouling applied to the aluminium hull is a copper free system compatible with aluminium, applied strictly to the paint manufacturer's specification over the correct primer. Copper based antifouling must never be applied to an aluminium hull. It causes galvanic corrosion and will void the hull and paint warranty;</w:t>
      </w:r>
    </w:p>
    <w:p>
      <w:pPr>
        <w:pStyle w:val="SRL"/>
      </w:pPr>
      <w:r>
        <w:t xml:space="preserve">—  fit and maintain a galvanic isolator or isolation transformer wherever shore power is connected; and</w:t>
      </w:r>
    </w:p>
    <w:p>
      <w:pPr>
        <w:pStyle w:val="SRL"/>
      </w:pPr>
      <w:r>
        <w:t xml:space="preserve">—  ensure all electrical work carried out after delivery is performed by a qualified marine electrician and maintains the Vessel's bonding system.</w:t>
      </w:r>
    </w:p>
    <w:p>
      <w:pPr>
        <w:pStyle w:val="SRH"/>
      </w:pPr>
      <w:r>
        <w:t xml:space="preserve">15.  Warranty</w:t>
      </w:r>
    </w:p>
    <w:p>
      <w:pPr>
        <w:pStyle w:val="SRB"/>
      </w:pPr>
      <w:r>
        <w:t xml:space="preserve">The Supplier warrants the Vessel on the terms of the Sea Raider warranty published at www.searaider.com.au/warranty, which is incorporated into and forms part of the agreement. A copy is provided with the Order. In summary:</w:t>
      </w:r>
    </w:p>
    <w:p>
      <w:pPr>
        <w:pStyle w:val="SRL"/>
      </w:pPr>
      <w:r>
        <w:t xml:space="preserve">—  structural hull, being the hull and sealed chambers, all welding performed by Sea Raider, stringers, transom, components welded integrally into the hull, and topside components fabricated by Sea Raider, is warranted for five years from original retail purchase;</w:t>
      </w:r>
    </w:p>
    <w:p>
      <w:pPr>
        <w:pStyle w:val="SRL"/>
      </w:pPr>
      <w:r>
        <w:t xml:space="preserve">—  paint and powder-coat is warranted for twelve months from original retail purchase;</w:t>
      </w:r>
    </w:p>
    <w:p>
      <w:pPr>
        <w:pStyle w:val="SRL"/>
      </w:pPr>
      <w:r>
        <w:t xml:space="preserve">—  vessels purchased for commercial use are warranted for six months from original retail purchase, covering the same components; and</w:t>
      </w:r>
    </w:p>
    <w:p>
      <w:pPr>
        <w:pStyle w:val="SRL"/>
      </w:pPr>
      <w:r>
        <w:t xml:space="preserve">—  bought-in equipment and accessories are covered by the relevant manufacturer's own terms.</w:t>
      </w:r>
    </w:p>
    <w:p>
      <w:pPr>
        <w:pStyle w:val="SRB"/>
      </w:pPr>
      <w:r>
        <w:t xml:space="preserve">The warranty is transferable to subsequent owners for the balance of the original period and does not extend on transfer.</w:t>
      </w:r>
    </w:p>
    <w:p>
      <w:pPr>
        <w:pStyle w:val="SRB"/>
      </w:pPr>
      <w:r>
        <w:t xml:space="preserve">The warranty excludes components not manufactured or installed by Sea Raider, misuse, negligence, accident, racing, overloading, improper maintenance including failure to flush or clean after saltwater use, unauthorised modification, normal wear on upholstery, windows, windscreens, seals and consumable items, damage from trailers not supplied or approved by Sea Raider, trailer wheel bearing or hub failure caused by lack of grease and any resulting damage (see clause 14), and corrosion or electrolysis caused by inadequate anode protection or incorrect electrical installation by third parties.</w:t>
      </w:r>
    </w:p>
    <w:p>
      <w:pPr>
        <w:pStyle w:val="SRB"/>
      </w:pPr>
      <w:r>
        <w:t xml:space="preserve">On discovering a defect the Buyer must cease using the Vessel or the affected component immediately, and notify an authorised Sea Raider dealer in writing with proof of purchase and photographs. Continued use of a defective component may void the warranty for any further damage that use causes.</w:t>
      </w:r>
    </w:p>
    <w:p>
      <w:pPr>
        <w:pStyle w:val="SRH"/>
      </w:pPr>
      <w:r>
        <w:t xml:space="preserve">16.  Australian Consumer Law</w:t>
      </w:r>
    </w:p>
    <w:p>
      <w:pPr>
        <w:pStyle w:val="SRB"/>
      </w:pPr>
      <w:r>
        <w:t xml:space="preserve">Nothing in the agreement excludes, restricts or modifies any guarantee, right or remedy the Buyer has under the ACL, or under any other law, that cannot lawfully be excluded. The warranty in clause 15 is given in addition to those rights, not instead of them.</w:t>
      </w:r>
    </w:p>
    <w:p>
      <w:pPr>
        <w:pStyle w:val="SRB"/>
      </w:pPr>
      <w:r>
        <w:t xml:space="preserve">Where the ACL applies, our goods come with guarantees that cannot be excluded. The Buyer is entitled to a replacement or refund for a major failure, and to compensation for any other reasonably foreseeable loss or damage. The Buyer is also entitled to have the goods repaired or replaced if they fail to be of acceptable quality and the failure does not amount to a major failure.</w:t>
      </w:r>
    </w:p>
    <w:p>
      <w:pPr>
        <w:pStyle w:val="SRB"/>
      </w:pPr>
      <w:r>
        <w:t xml:space="preserve">Where the law permits, the Supplier's liability for breach of a guarantee is limited, at the Supplier's election, to replacing or repairing the goods, supplying equivalent goods, or paying the cost of doing so.</w:t>
      </w:r>
    </w:p>
    <w:p>
      <w:pPr>
        <w:pStyle w:val="SRH"/>
      </w:pPr>
      <w:r>
        <w:t xml:space="preserve">17.  Liability</w:t>
      </w:r>
    </w:p>
    <w:p>
      <w:pPr>
        <w:pStyle w:val="SRB"/>
      </w:pPr>
      <w:r>
        <w:t xml:space="preserve">Subject to clause 16, and to the extent permitted by law, the Supplier is not liable for indirect or consequential loss, loss of profit, loss of revenue, loss of use, loss of opportunity, or wasted expenditure, however arising.</w:t>
      </w:r>
    </w:p>
    <w:p>
      <w:pPr>
        <w:pStyle w:val="SRB"/>
      </w:pPr>
      <w:r>
        <w:t xml:space="preserve">Subject to clause 16, the Supplier's total aggregate liability under or in connection with the agreement is limited to the Price paid.</w:t>
      </w:r>
    </w:p>
    <w:p>
      <w:pPr>
        <w:pStyle w:val="SRB"/>
      </w:pPr>
      <w:r>
        <w:t xml:space="preserve">The Supplier is not liable for loss caused by the Buyer's failure to meet its obligations under clause 14, or by work carried out on the Vessel by any party other than the Supplier or its authorised dealer.</w:t>
      </w:r>
    </w:p>
    <w:p>
      <w:pPr>
        <w:pStyle w:val="SRH"/>
      </w:pPr>
      <w:r>
        <w:t xml:space="preserve">18.  Events outside reasonable control</w:t>
      </w:r>
    </w:p>
    <w:p>
      <w:pPr>
        <w:pStyle w:val="SRB"/>
      </w:pPr>
      <w:r>
        <w:t xml:space="preserve">Neither party is liable for failure or delay caused by an event beyond its reasonable control, including natural disaster, fire, flood, epidemic, war, industrial action, government restriction, shipping disruption, port closure, or failure of an upstream supplier. The affected party must notify the other promptly and take reasonable steps to minimise the effect. Payment obligations already due are not suspended.</w:t>
      </w:r>
    </w:p>
    <w:p>
      <w:pPr>
        <w:pStyle w:val="SRH"/>
      </w:pPr>
      <w:r>
        <w:t xml:space="preserve">19.  Cancellation and default</w:t>
      </w:r>
    </w:p>
    <w:p>
      <w:pPr>
        <w:pStyle w:val="SRB"/>
      </w:pPr>
      <w:r>
        <w:t xml:space="preserve">If the Buyer cancels after the agreement is formed, the Supplier may retain from the money paid an amount equal to its reasonable losses, including committed factory costs, bespoke design and engineering work, non-returnable third party items ordered on the Buyer's instruction, and freight or storage already incurred. The Supplier must refund the balance and provide a written account of the amount retained.</w:t>
      </w:r>
    </w:p>
    <w:p>
      <w:pPr>
        <w:pStyle w:val="SRB"/>
      </w:pPr>
      <w:r>
        <w:t xml:space="preserve">If the Buyer fails to pay an instalment when due and does not remedy that failure within fourteen days of written notice, or becomes insolvent, the Supplier may suspend work, withhold delivery, and terminate the agreement by written notice, recovering its losses on the same basis.</w:t>
      </w:r>
    </w:p>
    <w:p>
      <w:pPr>
        <w:pStyle w:val="SRH"/>
      </w:pPr>
      <w:r>
        <w:t xml:space="preserve">20.  Insurance</w:t>
      </w:r>
    </w:p>
    <w:p>
      <w:pPr>
        <w:pStyle w:val="SRB"/>
      </w:pPr>
      <w:r>
        <w:t xml:space="preserve">The Buyer must insure the Vessel for its full replacement value from the moment risk passes, and must maintain that cover until title passes. On request the Buyer must provide evidence of cover, and must note the Supplier's interest on the policy while title remains with the Supplier.</w:t>
      </w:r>
    </w:p>
    <w:p>
      <w:pPr>
        <w:pStyle w:val="SRH"/>
      </w:pPr>
      <w:r>
        <w:t xml:space="preserve">21.  Disputes</w:t>
      </w:r>
    </w:p>
    <w:p>
      <w:pPr>
        <w:pStyle w:val="SRB"/>
      </w:pPr>
      <w:r>
        <w:t xml:space="preserve">If a dispute arises, the party raising it must give written notice describing the dispute. The parties' senior representatives must then meet within fourteen days and try in good faith to resolve it. If the dispute is unresolved after thirty days, either party may commence proceedings. Nothing in this clause prevents a party seeking urgent interlocutory relief.</w:t>
      </w:r>
    </w:p>
    <w:p>
      <w:pPr>
        <w:pStyle w:val="SRH"/>
      </w:pPr>
      <w:r>
        <w:t xml:space="preserve">22.  General</w:t>
      </w:r>
    </w:p>
    <w:p>
      <w:pPr>
        <w:pStyle w:val="SRB"/>
      </w:pPr>
      <w:r>
        <w:t xml:space="preserve">Entire agreement. The Order, these terms and any signed variation are the entire agreement between the parties and replace all earlier representations, quotations, emails and discussions. Neither party has relied on any statement not recorded in the agreement.</w:t>
      </w:r>
    </w:p>
    <w:p>
      <w:pPr>
        <w:pStyle w:val="SRB"/>
      </w:pPr>
      <w:r>
        <w:t xml:space="preserve">Governing law. The agreement is governed by the laws of Queensland, and the parties submit to the non-exclusive jurisdiction of its courts.</w:t>
      </w:r>
    </w:p>
    <w:p>
      <w:pPr>
        <w:pStyle w:val="SRB"/>
      </w:pPr>
      <w:r>
        <w:t xml:space="preserve">Notices. Notices must be in writing and sent to the addresses recorded in the Order, including by email.</w:t>
      </w:r>
    </w:p>
    <w:p>
      <w:pPr>
        <w:pStyle w:val="SRB"/>
      </w:pPr>
      <w:r>
        <w:t xml:space="preserve">Assignment. The Buyer may not assign the agreement without the Supplier's written consent, which will not be unreasonably withheld.</w:t>
      </w:r>
    </w:p>
    <w:p>
      <w:pPr>
        <w:pStyle w:val="SRB"/>
      </w:pPr>
      <w:r>
        <w:t xml:space="preserve">Severance. If any provision is unenforceable it is severed and the remainder continues in force.</w:t>
      </w:r>
    </w:p>
    <w:p>
      <w:pPr>
        <w:pStyle w:val="SRB"/>
      </w:pPr>
      <w:r>
        <w:t xml:space="preserve">Privacy. Personal information is collected and handled in accordance with the Supplier's privacy policy and the Privacy Act 1988 (Cth).</w:t>
      </w:r>
    </w:p>
    <w:sectPr>
      <w:pgSz w:w="11906" w:h="16838"/>
      <w:pgMar w:top="1418" w:right="1276" w:bottom="1418" w:left="1276"/>
    </w:sectPr>
  </w:body>
</w:document>
</file>

<file path=word/styles.xml><?xml version="1.0" encoding="utf-8"?>
<w:styles xmlns:w="http://schemas.openxmlformats.org/wordprocessingml/2006/main">
  <w:docDefaults>
    <w:rPrDefault>
      <w:rPr>
        <w:rFonts w:ascii="Calibri" w:hAnsi="Calibri" w:cs="Calibri"/>
        <w:sz w:val="21"/>
        <w:szCs w:val="21"/>
      </w:rPr>
    </w:rPrDefault>
    <w:pPrDefault>
      <w:pPr>
        <w:spacing w:after="140" w:line="276" w:lineRule="auto"/>
      </w:pPr>
    </w:pPrDefault>
  </w:docDefaults>
  <w:style w:type="paragraph" w:default="1" w:styleId="Normal">
    <w:name w:val="Normal"/>
  </w:style>
  <w:style w:type="paragraph" w:styleId="SRT">
    <w:name w:val="Doc Title"/>
    <w:pPr>
      <w:spacing w:before="0" w:after="60"/>
    </w:pPr>
    <w:rPr>
      <w:b/>
      <w:sz w:val="40"/>
      <w:color w:val="17395E"/>
    </w:rPr>
  </w:style>
  <w:style w:type="paragraph" w:styleId="SRS">
    <w:name w:val="Doc Subtitle"/>
    <w:pPr>
      <w:spacing w:before="0" w:after="200"/>
    </w:pPr>
    <w:rPr>
      <w:sz w:val="26"/>
      <w:color w:val="55606E"/>
    </w:rPr>
  </w:style>
  <w:style w:type="paragraph" w:styleId="SRM">
    <w:name w:val="Doc Meta"/>
    <w:pPr>
      <w:spacing w:before="0" w:after="40"/>
    </w:pPr>
    <w:rPr>
      <w:sz w:val="18"/>
      <w:color w:val="55606E"/>
    </w:rPr>
  </w:style>
  <w:style w:type="paragraph" w:styleId="SRH">
    <w:name w:val="Clause Heading"/>
    <w:pPr>
      <w:keepNext/>
      <w:spacing w:before="320" w:after="120"/>
    </w:pPr>
    <w:rPr>
      <w:b/>
      <w:sz w:val="24"/>
      <w:color w:val="17395E"/>
    </w:rPr>
  </w:style>
  <w:style w:type="paragraph" w:styleId="SRB">
    <w:name w:val="Clause Body"/>
    <w:pPr>
      <w:spacing w:before="0" w:after="140" w:line="276" w:lineRule="auto"/>
      <w:jc w:val="both"/>
    </w:pPr>
    <w:rPr/>
  </w:style>
  <w:style w:type="paragraph" w:styleId="SRL">
    <w:name w:val="Clause List"/>
    <w:pPr>
      <w:spacing w:before="0" w:after="100" w:line="276" w:lineRule="auto"/>
      <w:ind w:left="624" w:hanging="284"/>
      <w:jc w:val="both"/>
    </w:pPr>
    <w:rPr/>
  </w:style>
  <w:style w:type="paragraph" w:styleId="SRR">
    <w:name w:val="Rule"/>
    <w:pPr>
      <w:pBdr>
        <w:bottom w:val="single" w:sz="8" w:space="1" w:color="17395E"/>
      </w:pBdr>
      <w:spacing w:before="120" w:after="260"/>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